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附件2</w:t>
      </w:r>
    </w:p>
    <w:p>
      <w:pPr>
        <w:rPr>
          <w:rFonts w:ascii="Times New Roman" w:hAnsi="Times New Roman" w:eastAsia="仿宋" w:cs="Times New Roman"/>
          <w:sz w:val="32"/>
          <w:szCs w:val="32"/>
        </w:rPr>
      </w:pPr>
    </w:p>
    <w:p>
      <w:pPr>
        <w:jc w:val="center"/>
        <w:rPr>
          <w:rFonts w:ascii="Times New Roman" w:hAnsi="Times New Roman" w:eastAsia="黑体" w:cs="Times New Roman"/>
          <w:sz w:val="40"/>
          <w:szCs w:val="40"/>
        </w:rPr>
      </w:pPr>
      <w:r>
        <w:rPr>
          <w:rFonts w:hint="default" w:ascii="Times New Roman" w:hAnsi="Times New Roman" w:eastAsia="黑体" w:cs="Times New Roman"/>
          <w:sz w:val="40"/>
          <w:szCs w:val="40"/>
        </w:rPr>
        <w:t>《大型灌区续建配套与现代化改造实施方案》</w:t>
      </w:r>
    </w:p>
    <w:p>
      <w:pPr>
        <w:jc w:val="center"/>
        <w:rPr>
          <w:rFonts w:ascii="Times New Roman" w:hAnsi="Times New Roman" w:eastAsia="黑体" w:cs="Times New Roman"/>
          <w:sz w:val="40"/>
          <w:szCs w:val="40"/>
        </w:rPr>
      </w:pPr>
      <w:r>
        <w:rPr>
          <w:rFonts w:hint="default" w:ascii="Times New Roman" w:hAnsi="Times New Roman" w:eastAsia="黑体" w:cs="Times New Roman"/>
          <w:sz w:val="40"/>
          <w:szCs w:val="40"/>
        </w:rPr>
        <w:t>编制提纲</w:t>
      </w:r>
    </w:p>
    <w:p>
      <w:pPr>
        <w:jc w:val="center"/>
        <w:rPr>
          <w:rFonts w:ascii="Times New Roman" w:hAnsi="Times New Roman" w:eastAsia="黑体" w:cs="Times New Roman"/>
          <w:sz w:val="40"/>
          <w:szCs w:val="40"/>
        </w:rPr>
      </w:pPr>
    </w:p>
    <w:p>
      <w:pPr>
        <w:jc w:val="center"/>
        <w:rPr>
          <w:rFonts w:ascii="Times New Roman" w:hAnsi="Times New Roman" w:eastAsia="黑体" w:cs="Times New Roman"/>
          <w:sz w:val="40"/>
          <w:szCs w:val="40"/>
        </w:rPr>
      </w:pP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前言</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w:t>
      </w:r>
      <w:r>
        <w:rPr>
          <w:rFonts w:ascii="Times New Roman" w:hAnsi="Times New Roman" w:eastAsia="仿宋" w:cs="Times New Roman"/>
          <w:sz w:val="32"/>
          <w:szCs w:val="32"/>
        </w:rPr>
        <w:t>实施方案</w:t>
      </w:r>
      <w:r>
        <w:rPr>
          <w:rFonts w:hint="default" w:ascii="Times New Roman" w:hAnsi="Times New Roman" w:eastAsia="仿宋" w:cs="Times New Roman"/>
          <w:sz w:val="32"/>
          <w:szCs w:val="32"/>
        </w:rPr>
        <w:t xml:space="preserve">编制背景、任务来源、主要工作过程及主要预期成果等。 </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第一章  灌区工程现状</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1.1  自然地理、社会经济和水资源概况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简述灌区地形地貌、河流水系分布和水文地质等；行政区划及乡镇数量、人口（其中农村人口）和主要社会经济指标；耕地、灌溉面积和农业生产、粮食生产状况；水资源开发利用和水质状况等。 </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1.2  灌区工程基本情况简述</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灌区及泵站工程状况和管理运行现状。 </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1.3  续建配套与节水改造等项目成效与经验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总结灌区续建配套与节水改造、灌排泵站更新改造，特别是“十三五”以来取得的主要成效和经验做法。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从灌区及泵站工程保障、工程运行维护等方面简述灌区及泵站存在的主要问题。 </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第二章 实施灌区续建配套与现代化改造的必要性</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2.1  现代化改造需求分析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根据现代化改造标准，结合当地实际，从灌溉设计保证率、供水保证率、节水、增产以及工程配套状况、工程老化程度、运行管护和水生态保护、水文化传承等方面进行需求分析。 </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2.2  实施灌区现代化改造的必要性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从保障国家粮食安全、建设节水型社会、推进农业现代化、实施乡村振兴、助力脱贫攻坚、解决工程长效运行问题等方面简述必要性。 </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第三章 指导思想与目标任务</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3.1  指导思想与基本原则</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3.2  目标任务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包括建设和管理两个方面的总体与阶段性目标。</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3.3  编制依据</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3.4  实施范围与水平年</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第四章 总体布局</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4.1区域布局</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包括农业发展布局、地表水与地下水保护、生态环境保护布局等。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4.2灌区用水调整优化</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4.3灌区防洪除涝与盐碱化防治</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第五章 水土资源供需平衡分析复核</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5.1 水土资源利用现状</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5.2 灌区经济社会发展指标预测</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5.3 灌区土地资源开发利用规划</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5.4 灌溉制度分析复核</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5.5 灌区需水量分析复核</w:t>
      </w:r>
      <w:r>
        <w:rPr>
          <w:rFonts w:hint="default" w:ascii="Times New Roman" w:hAnsi="Times New Roman" w:eastAsia="仿宋" w:cs="Times New Roman"/>
          <w:sz w:val="32"/>
          <w:szCs w:val="32"/>
        </w:rPr>
        <w:tab/>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5.6 灌区可供水量分析复核</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5.7 灌区水土资源匹配分析复核</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5.8 灌区水资源供需平衡分析复核</w:t>
      </w:r>
      <w:r>
        <w:rPr>
          <w:rFonts w:hint="default" w:ascii="Times New Roman" w:hAnsi="Times New Roman" w:eastAsia="仿宋" w:cs="Times New Roman"/>
          <w:sz w:val="32"/>
          <w:szCs w:val="32"/>
        </w:rPr>
        <w:tab/>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5.9 严格水资源管理条件下的水资源配置</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第六章 灌排工程设施改造与提升</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6.1建设标准</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主要包括灌溉水源工程、泵站工程、输配水工程、排水工程、田间工程建设标准。</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6.2主要建设任务</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重点是骨干工程配套、除险加固，渠道险工险段处理，量测水设施配套，信息化建设，管理设施完善，工程设施与生态环境的和谐融合。</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6.3技术措施</w:t>
      </w:r>
      <w:r>
        <w:rPr>
          <w:rFonts w:hint="default" w:ascii="Times New Roman" w:hAnsi="Times New Roman" w:eastAsia="仿宋" w:cs="Times New Roman"/>
          <w:sz w:val="32"/>
          <w:szCs w:val="32"/>
        </w:rPr>
        <w:tab/>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6.4灌溉水源工程</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增加调蓄能力，小水源连通互补等。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6.5泵站工程</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    主要包括灌区范围内灌区管理单位管理的灌排泵站和为灌区服务的大中型灌排泵站。</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6.6输配水工程</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6.7排水工程</w:t>
      </w:r>
      <w:r>
        <w:rPr>
          <w:rFonts w:hint="default" w:ascii="Times New Roman" w:hAnsi="Times New Roman" w:eastAsia="仿宋" w:cs="Times New Roman"/>
          <w:sz w:val="32"/>
          <w:szCs w:val="32"/>
        </w:rPr>
        <w:tab/>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6.8田间工程</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提出田间工程的规模、灌溉水源点配置、节水要求等。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6.9水土保持及生态环境保护</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6.10 其他工程</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主要包括量测水设施、截污工程、管理设施等。</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第七章 智慧水管理体系</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7.1原则与目标</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7.2主要任务</w:t>
      </w:r>
      <w:r>
        <w:rPr>
          <w:rFonts w:hint="default" w:ascii="Times New Roman" w:hAnsi="Times New Roman" w:eastAsia="仿宋" w:cs="Times New Roman"/>
          <w:sz w:val="32"/>
          <w:szCs w:val="32"/>
        </w:rPr>
        <w:tab/>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7.3立体感知体系建设</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包括水情、水质、田间水层、工程安全监测等。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7.4智能应用体系建设</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包括运行期调度、防洪、应急备用水源、事故及应急调度、自动控制等。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7.5信息服务平台建设</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包括多系统融合服务、决策服务支持等。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7.6支撑保障体系建设</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包括调度指挥中心、支撑平台、数据存储等。</w:t>
      </w:r>
    </w:p>
    <w:p>
      <w:pPr>
        <w:ind w:firstLine="640" w:firstLineChars="200"/>
        <w:rPr>
          <w:rFonts w:ascii="Times New Roman" w:hAnsi="Times New Roman" w:eastAsia="仿宋" w:cs="Times New Roman"/>
          <w:sz w:val="32"/>
          <w:szCs w:val="32"/>
        </w:rPr>
      </w:pP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第八章 水生态保护与水文化传承</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8.1水生态保护与修复的思路与措施</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8.2 水资源现状及存在主要问题</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包括水功能区划情况、污染源情况、水质现状及存在主要问题。</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8.3 水资源保护措施</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包括加强污染治理、水资源保护、水资源监测，完善突发水污染事故应急处置制度及强化监督管理，提出水资源保护的工程措施预案和非工程措施预案。</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8.4水文化保护与建设思路</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8.5灌区水文化挖掘与保护</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8.6水文化保护总体布局、水文化保护与建设重点</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8.7水文化保护机制</w:t>
      </w:r>
      <w:r>
        <w:rPr>
          <w:rFonts w:hint="default" w:ascii="Times New Roman" w:hAnsi="Times New Roman" w:eastAsia="仿宋" w:cs="Times New Roman"/>
          <w:sz w:val="32"/>
          <w:szCs w:val="32"/>
        </w:rPr>
        <w:tab/>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第九章 管理改革</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9.1管理体制改革</w:t>
      </w:r>
      <w:r>
        <w:rPr>
          <w:rFonts w:hint="default" w:ascii="Times New Roman" w:hAnsi="Times New Roman" w:eastAsia="仿宋" w:cs="Times New Roman"/>
          <w:sz w:val="32"/>
          <w:szCs w:val="32"/>
        </w:rPr>
        <w:tab/>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深化管理体制改革，根据批复的管理体制改革方案，落实机构人员编制，合理设置岗位、配置人员。全额落实核定的“两费”。因地制宜积极推行事企分开、管养分离等。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9.2灌区管理制度  </w:t>
      </w:r>
    </w:p>
    <w:p>
      <w:pPr>
        <w:ind w:firstLine="640" w:firstLineChars="200"/>
        <w:rPr>
          <w:rFonts w:ascii="Times New Roman" w:hAnsi="Times New Roman" w:eastAsia="仿宋" w:cs="Times New Roman"/>
          <w:sz w:val="32"/>
          <w:szCs w:val="32"/>
        </w:rPr>
      </w:pPr>
      <w:r>
        <w:rPr>
          <w:rFonts w:hint="default" w:ascii="Times New Roman" w:hAnsi="Times New Roman" w:eastAsia="仿宋_GB2312" w:cs="Times New Roman"/>
          <w:sz w:val="32"/>
          <w:szCs w:val="32"/>
        </w:rPr>
        <w:t>推进灌区标准化规范化管理，完善管理制度，建立管理标准，落实</w:t>
      </w:r>
      <w:r>
        <w:rPr>
          <w:rFonts w:hint="default" w:ascii="Times New Roman" w:hAnsi="Times New Roman" w:eastAsia="仿宋" w:cs="Times New Roman"/>
          <w:sz w:val="32"/>
          <w:szCs w:val="32"/>
        </w:rPr>
        <w:t>岗位责任主体和管理人员工作职责。建立健全财务、资产等管理制度。</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9.3 安全生产管理体系</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建立安全生产管理体系，落实安全生产责任制，建立健全工程安全巡检、隐患排查和登记建档制度。建立事故报告和应急响应机制等。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9.4 灌区工程管护</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主要包括落实管理与维修养护责任主体、建立健全维修养护机制、明确骨干工程管理和保护范围等。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9.5灌区水价综合改革</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    主要包括健全农业水价形成机制，科学核算供水成本、价格，明确水费计收方式；建立精准补贴和节水奖励机制等。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9.6 灌区供用水管理</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主要包括科学调配供水、强化取水许可管理，推行总量控制与定额管理，制定灌区用水管理制度等。 </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9.7灌溉试验与科技推广</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开展灌溉试验；推广应用新技术、新工艺等。</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第十章  投资估算与资金筹措</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10.1  编制依据</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简述投资估算的依据和原则等。</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10.2  投资估算</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简述投资估算方法及主要成果。</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10.3 资金筹措方案</w:t>
      </w:r>
    </w:p>
    <w:p>
      <w:pPr>
        <w:jc w:val="left"/>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第十一章 经济评价</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11.1  国民经济评价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简述国民经济评价的依据和方法。</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简述运行费用的估算方法，反映工程费用（包括投资、年运行费、流动资金等）、效益计算（分析影子水价，计算供水总效益）等运行费用成果。</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简述经济效益的估算方法，反映经济效益估算主要成果。</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简述国民经济评价指标的计算方法及主要指标成果。</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11.2  财务分析</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简述重点工程成本水价的核定方法和成果，包括财务费用、效益分析等；分析工程建设可行性，测算地方配套资金的承受能力。</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分析项目运行的收益来源。</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提出维持项目基本运行的建议措施。</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11.3环境影响评价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分析工程的生态环境影响。</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11.4社会影响评价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分析工程的社会效益。</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11.5可持续性评价</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分析内外部条件对项目可持续性发展的影响。</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11.6 结论 </w:t>
      </w:r>
    </w:p>
    <w:p>
      <w:pPr>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简述经济评价、财务评价、环境影响评价、社会影响评价、可持续性评价的主要结论。</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第十二章 分期实施意见</w:t>
      </w:r>
    </w:p>
    <w:p>
      <w:pPr>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第十三章 保障措施</w:t>
      </w:r>
    </w:p>
    <w:p>
      <w:pPr>
        <w:jc w:val="left"/>
        <w:rPr>
          <w:rFonts w:ascii="Times New Roman" w:hAnsi="Times New Roman" w:eastAsia="黑体" w:cs="Times New Roman"/>
          <w:sz w:val="32"/>
          <w:szCs w:val="32"/>
        </w:rPr>
      </w:pPr>
      <w:r>
        <w:rPr>
          <w:rFonts w:hint="default" w:ascii="Times New Roman" w:hAnsi="Times New Roman" w:eastAsia="黑体" w:cs="Times New Roman"/>
          <w:sz w:val="32"/>
          <w:szCs w:val="32"/>
        </w:rPr>
        <w:t>附件：</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报告：工程设施调查评估报告</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附表：见实施方案编制技术指南附件3</w:t>
      </w:r>
    </w:p>
    <w:p>
      <w:pPr>
        <w:rPr>
          <w:rFonts w:ascii="Times New Roman" w:hAnsi="Times New Roman" w:eastAsia="仿宋" w:cs="Times New Roman"/>
          <w:sz w:val="32"/>
          <w:szCs w:val="32"/>
        </w:rPr>
      </w:pPr>
      <w:r>
        <w:rPr>
          <w:rFonts w:hint="default" w:ascii="Times New Roman" w:hAnsi="Times New Roman" w:eastAsia="仿宋" w:cs="Times New Roman"/>
          <w:sz w:val="32"/>
          <w:szCs w:val="32"/>
        </w:rPr>
        <w:t>附图：灌区水利工程现状图、现代化改造实施方案图、灌区水资源配置图等1:50</w:t>
      </w:r>
      <w:r>
        <w:rPr>
          <w:rFonts w:ascii="Times New Roman" w:hAnsi="Times New Roman" w:eastAsia="仿宋" w:cs="Times New Roman"/>
          <w:sz w:val="32"/>
          <w:szCs w:val="32"/>
        </w:rPr>
        <w:t>000</w:t>
      </w:r>
      <w:r>
        <w:rPr>
          <w:rFonts w:hint="default" w:ascii="Times New Roman" w:hAnsi="Times New Roman" w:eastAsia="仿宋" w:cs="Times New Roman"/>
          <w:sz w:val="32"/>
          <w:szCs w:val="32"/>
        </w:rPr>
        <w:t>电子图。</w:t>
      </w: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24"/>
    <w:rsid w:val="00041246"/>
    <w:rsid w:val="00052E79"/>
    <w:rsid w:val="00140311"/>
    <w:rsid w:val="00154FA9"/>
    <w:rsid w:val="00155D48"/>
    <w:rsid w:val="001D299E"/>
    <w:rsid w:val="002344A9"/>
    <w:rsid w:val="0024449F"/>
    <w:rsid w:val="0027614D"/>
    <w:rsid w:val="00354375"/>
    <w:rsid w:val="00436941"/>
    <w:rsid w:val="004442F2"/>
    <w:rsid w:val="004A082B"/>
    <w:rsid w:val="0052238D"/>
    <w:rsid w:val="00634D98"/>
    <w:rsid w:val="00872B04"/>
    <w:rsid w:val="0089072F"/>
    <w:rsid w:val="009F12E1"/>
    <w:rsid w:val="009F3A0B"/>
    <w:rsid w:val="00A61047"/>
    <w:rsid w:val="00BC5600"/>
    <w:rsid w:val="00C73165"/>
    <w:rsid w:val="00C74EE6"/>
    <w:rsid w:val="00D27F99"/>
    <w:rsid w:val="00EA24B7"/>
    <w:rsid w:val="00EE29A2"/>
    <w:rsid w:val="00EF2472"/>
    <w:rsid w:val="00F63224"/>
    <w:rsid w:val="00F90A74"/>
    <w:rsid w:val="00FA342B"/>
    <w:rsid w:val="0184330E"/>
    <w:rsid w:val="031673BF"/>
    <w:rsid w:val="0D531BA0"/>
    <w:rsid w:val="18D349CB"/>
    <w:rsid w:val="1F0E3079"/>
    <w:rsid w:val="366B123E"/>
    <w:rsid w:val="3AE864CA"/>
    <w:rsid w:val="41956EE2"/>
    <w:rsid w:val="438B629F"/>
    <w:rsid w:val="49515A14"/>
    <w:rsid w:val="4EB074AF"/>
    <w:rsid w:val="572519DA"/>
    <w:rsid w:val="57E37D8D"/>
    <w:rsid w:val="59B31FB0"/>
    <w:rsid w:val="5B667086"/>
    <w:rsid w:val="5E4B0E9C"/>
    <w:rsid w:val="6E422C4E"/>
    <w:rsid w:val="6F8B385E"/>
    <w:rsid w:val="7B1F4F28"/>
    <w:rsid w:val="7BB9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qFormat/>
    <w:uiPriority w:val="0"/>
    <w:pPr>
      <w:keepNext/>
      <w:keepLines/>
      <w:spacing w:before="260" w:after="260" w:line="415" w:lineRule="auto"/>
      <w:jc w:val="left"/>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jc w:val="left"/>
      <w:outlineLvl w:val="2"/>
    </w:pPr>
    <w:rPr>
      <w:b/>
      <w:bCs/>
      <w:szCs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15"/>
    <w:semiHidden/>
    <w:unhideWhenUsed/>
    <w:qFormat/>
    <w:uiPriority w:val="99"/>
    <w:rPr>
      <w:b/>
      <w:bCs/>
    </w:rPr>
  </w:style>
  <w:style w:type="paragraph" w:styleId="6">
    <w:name w:val="annotation text"/>
    <w:basedOn w:val="1"/>
    <w:link w:val="14"/>
    <w:semiHidden/>
    <w:unhideWhenUsed/>
    <w:qFormat/>
    <w:uiPriority w:val="99"/>
    <w:pPr>
      <w:jc w:val="left"/>
    </w:pPr>
  </w:style>
  <w:style w:type="paragraph" w:styleId="7">
    <w:name w:val="Balloon Text"/>
    <w:basedOn w:val="1"/>
    <w:link w:val="13"/>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annotation reference"/>
    <w:basedOn w:val="10"/>
    <w:semiHidden/>
    <w:unhideWhenUsed/>
    <w:qFormat/>
    <w:uiPriority w:val="99"/>
    <w:rPr>
      <w:sz w:val="21"/>
      <w:szCs w:val="21"/>
    </w:rPr>
  </w:style>
  <w:style w:type="character" w:customStyle="1" w:styleId="13">
    <w:name w:val="批注框文本 字符"/>
    <w:basedOn w:val="10"/>
    <w:link w:val="7"/>
    <w:semiHidden/>
    <w:qFormat/>
    <w:uiPriority w:val="99"/>
    <w:rPr>
      <w:rFonts w:asciiTheme="minorHAnsi" w:hAnsiTheme="minorHAnsi" w:eastAsiaTheme="minorEastAsia" w:cstheme="minorBidi"/>
      <w:kern w:val="2"/>
      <w:sz w:val="18"/>
      <w:szCs w:val="18"/>
    </w:rPr>
  </w:style>
  <w:style w:type="character" w:customStyle="1" w:styleId="14">
    <w:name w:val="批注文字 字符"/>
    <w:basedOn w:val="10"/>
    <w:link w:val="6"/>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Words>
  <Characters>2259</Characters>
  <Lines>18</Lines>
  <Paragraphs>5</Paragraphs>
  <TotalTime>35</TotalTime>
  <ScaleCrop>false</ScaleCrop>
  <LinksUpToDate>false</LinksUpToDate>
  <CharactersWithSpaces>2650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2020-02-24T13:43:00Z</dcterms:created>
  <dc:creator>邹体峰</dc:creator>
  <cp:lastModifiedBy>邹体峰</cp:lastModifiedBy>
  <cp:lastPrinted>2020-02-24T12:54:00Z</cp:lastPrinted>
  <dcterms:modified xsi:type="dcterms:W3CDTF">2020-03-23T03:15:04Z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